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BC5EE73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2.47.1</w:t>
            </w: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  на </w:t>
            </w:r>
            <w:r w:rsidR="00D55451" w:rsidRPr="00D55451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9FF8274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A3C9479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8DB5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1A49731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F7C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7457A533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9009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      </w:r>
          </w:p>
          <w:p w14:paraId="29C78283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9BE0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      </w:r>
          </w:p>
          <w:p w14:paraId="5AF6DAB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2986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создания объекта долевого строительства – в случае строительства (реконструкции) жилого </w:t>
            </w: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порядке долевого участия в жилищном строительстве</w:t>
            </w:r>
          </w:p>
          <w:p w14:paraId="5E6FE19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CEA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      </w:r>
          </w:p>
          <w:p w14:paraId="6FBB94B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2B52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40F8AAA7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958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</w:t>
            </w:r>
          </w:p>
          <w:p w14:paraId="03F0DD47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8FD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354CC510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BDFE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  <w:p w14:paraId="31F5A88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AC3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</w:t>
            </w: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      </w:r>
          </w:p>
          <w:p w14:paraId="638EC45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5D2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14:paraId="49D2AFE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322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1F988220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4CBA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70C6CC0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A92D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14:paraId="1CFCDB79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664F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</w:t>
            </w: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14:paraId="7A777544" w14:textId="535188F2" w:rsidR="003A431E" w:rsidRDefault="003A431E" w:rsidP="00FD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2F8CA96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200A670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935AE53" w:rsidR="003A431E" w:rsidRDefault="00FD6B6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C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2A42177" w14:textId="45D9B812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7DA4A373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F6F16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40F55FA8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8082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2445B1DA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4BBA2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14:paraId="365EFB9C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6DA1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14:paraId="6D65B125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DBCA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14:paraId="3981BE42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B6C7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14:paraId="02ACD11B" w14:textId="77777777" w:rsidR="00D55451" w:rsidRPr="00D55451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ADE9FFF" w:rsidR="003A431E" w:rsidRDefault="00D55451" w:rsidP="00D5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1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них.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5545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55451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2022-01-03T06:16:00Z</dcterms:modified>
</cp:coreProperties>
</file>