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9C8DBBD" w:rsidR="003A431E" w:rsidRDefault="00A055F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A055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3204DDF" w14:textId="77777777" w:rsidR="00A055FB" w:rsidRPr="00A055FB" w:rsidRDefault="00A055FB" w:rsidP="00A0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958328A" w14:textId="77777777" w:rsidR="00A055FB" w:rsidRPr="00A055FB" w:rsidRDefault="00A055FB" w:rsidP="00A0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7979965" w:rsidR="003A431E" w:rsidRDefault="00A055FB" w:rsidP="00A0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 – для построек более одного этажа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03AACFF" w:rsidR="003A431E" w:rsidRDefault="00A055F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97E3866" w:rsidR="003A431E" w:rsidRDefault="00A055F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955BCF5" w:rsidR="003A431E" w:rsidRDefault="00A055F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1BC81F39" w:rsidR="003A431E" w:rsidRDefault="00A055FB" w:rsidP="00A0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строение, изолированное помещение, машино-место, часть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погибла, и земельный участок, на котором это капитальное строение, изолированное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помещение или машино-место, часть которого погибла, расположены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055F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055F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2021-07-01T11:45:00Z</dcterms:modified>
</cp:coreProperties>
</file>